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22169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Procesador: ARM de 32 bits;</w:t>
      </w:r>
    </w:p>
    <w:p w14:paraId="33589B60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Áreas de placa: 16;</w:t>
      </w:r>
    </w:p>
    <w:p w14:paraId="694D90BB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Expansión: hasta 128 zonas;</w:t>
      </w:r>
    </w:p>
    <w:p w14:paraId="5FB6547C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Particiones: 8;</w:t>
      </w:r>
    </w:p>
    <w:p w14:paraId="70D4113B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Usuarios: hasta 900;</w:t>
      </w:r>
    </w:p>
    <w:p w14:paraId="12A5EBC3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Búfer: 2.048 eventos;</w:t>
      </w:r>
    </w:p>
    <w:p w14:paraId="02525DE7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Periféricos de bus: 8</w:t>
      </w: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br/>
        <w:t>PGM: 2;</w:t>
      </w:r>
    </w:p>
    <w:p w14:paraId="2CE91407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Comunicación: Línea telefónica, GPRS / SMS * e IP **;</w:t>
      </w:r>
    </w:p>
    <w:p w14:paraId="04B2115D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Sensor de línea telefónica: Sí;</w:t>
      </w:r>
    </w:p>
    <w:p w14:paraId="3E50C579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Actualización de software: GPRS *, IP **, línea telefónica. y cable serial;</w:t>
      </w:r>
    </w:p>
    <w:p w14:paraId="3BB47EA3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Sirenas: 2 sirenas divididas;</w:t>
      </w:r>
    </w:p>
    <w:p w14:paraId="166AF83A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Salida de sirena: 2.5A;</w:t>
      </w:r>
    </w:p>
    <w:p w14:paraId="20C187B6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Fuente de rango completo: 110 V-220 V;</w:t>
      </w:r>
    </w:p>
    <w:p w14:paraId="3B802543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Salida auxiliar: 1.2A;</w:t>
      </w:r>
    </w:p>
    <w:p w14:paraId="3E225481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Envío de correo electrónico: hasta 3 destinatarios por GPRS * o IP **;</w:t>
      </w:r>
    </w:p>
    <w:p w14:paraId="4610B88C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Bandejas para tarjetas SIM *: 2 *;</w:t>
      </w:r>
    </w:p>
    <w:p w14:paraId="0A84AAFB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Activación / desactivación por 8 teléfonos móviles registrados *;</w:t>
      </w:r>
    </w:p>
    <w:p w14:paraId="1EA003AD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Contraseñas con días de semana y horario restringido;</w:t>
      </w:r>
    </w:p>
    <w:p w14:paraId="7BB9C8EE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Calendario de vacaciones;</w:t>
      </w:r>
    </w:p>
    <w:p w14:paraId="215E3E6F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Ajuste automático del horario de verano;</w:t>
      </w:r>
    </w:p>
    <w:p w14:paraId="378DF86C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Actualización de firmware con el panel en funcionamiento;</w:t>
      </w:r>
    </w:p>
    <w:p w14:paraId="5C8027BE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Ajuste de la hora con el reloj del operador de telefonía móvil *</w:t>
      </w: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br/>
        <w:t>o el servidor NTP **;</w:t>
      </w:r>
    </w:p>
    <w:p w14:paraId="3B817C11" w14:textId="77777777" w:rsidR="008D125F" w:rsidRPr="008D125F" w:rsidRDefault="008D125F" w:rsidP="008D1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Medidor de consumo de datos individual para ambas SIM;</w:t>
      </w:r>
    </w:p>
    <w:p w14:paraId="71815C0F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Personalización de usuario, partición y zonas para envío de SMS * y e-mail **;</w:t>
      </w:r>
    </w:p>
    <w:p w14:paraId="0AB59B05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Funciona con sensores NO o NC simultáneamente / configuración individual por zona;</w:t>
      </w:r>
    </w:p>
    <w:p w14:paraId="7408D41F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Opción de configurar IP fija o dinámica en la red local **;</w:t>
      </w:r>
    </w:p>
    <w:p w14:paraId="11BEAA24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Plug and Play universal **;</w:t>
      </w:r>
    </w:p>
    <w:p w14:paraId="5A91EABD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Página web integrada para configuración y operación **</w:t>
      </w: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br/>
        <w:t>(ver video de demostración);</w:t>
      </w:r>
    </w:p>
    <w:p w14:paraId="2AE72F53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Sistema de detección de acceso a Internet **;</w:t>
      </w:r>
    </w:p>
    <w:p w14:paraId="020F54C1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Acepta conexión a;</w:t>
      </w:r>
    </w:p>
    <w:p w14:paraId="21331C2C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 xml:space="preserve">Aplicación </w:t>
      </w:r>
      <w:proofErr w:type="spellStart"/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VIAWEBmobile</w:t>
      </w:r>
      <w:proofErr w:type="spellEnd"/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;</w:t>
      </w:r>
    </w:p>
    <w:p w14:paraId="40CC9655" w14:textId="77777777" w:rsidR="008D125F" w:rsidRPr="008D125F" w:rsidRDefault="008D125F" w:rsidP="008D1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000000"/>
          <w:sz w:val="21"/>
          <w:szCs w:val="21"/>
          <w:lang w:eastAsia="es-CL"/>
        </w:rPr>
      </w:pPr>
      <w:r w:rsidRPr="008D125F">
        <w:rPr>
          <w:rFonts w:ascii="Arial" w:eastAsia="Times New Roman" w:hAnsi="Arial" w:cs="Arial"/>
          <w:color w:val="000000"/>
          <w:sz w:val="21"/>
          <w:szCs w:val="21"/>
          <w:lang w:eastAsia="es-CL"/>
        </w:rPr>
        <w:t>Envío automático de informes del sistema por correo electrónico **</w:t>
      </w:r>
    </w:p>
    <w:p w14:paraId="0E3C8A25" w14:textId="77777777" w:rsidR="009402F8" w:rsidRPr="00B00E96" w:rsidRDefault="009402F8" w:rsidP="00B00E96">
      <w:pPr>
        <w:shd w:val="clear" w:color="auto" w:fill="FFFFFF"/>
        <w:spacing w:line="240" w:lineRule="atLeast"/>
        <w:ind w:left="720"/>
        <w:textAlignment w:val="center"/>
        <w:rPr>
          <w:rFonts w:ascii="Helvetica" w:eastAsia="Times New Roman" w:hAnsi="Helvetica" w:cs="Helvetica"/>
          <w:color w:val="41484D"/>
          <w:sz w:val="21"/>
          <w:szCs w:val="21"/>
          <w:lang w:eastAsia="es-CL"/>
        </w:rPr>
      </w:pPr>
    </w:p>
    <w:sectPr w:rsidR="009402F8" w:rsidRPr="00B00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27C87"/>
    <w:multiLevelType w:val="multilevel"/>
    <w:tmpl w:val="4F8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7341CF"/>
    <w:multiLevelType w:val="multilevel"/>
    <w:tmpl w:val="C49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BD3A2D"/>
    <w:multiLevelType w:val="multilevel"/>
    <w:tmpl w:val="2BBA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38"/>
    <w:rsid w:val="00253138"/>
    <w:rsid w:val="008D125F"/>
    <w:rsid w:val="009402F8"/>
    <w:rsid w:val="00AB504E"/>
    <w:rsid w:val="00B00E96"/>
    <w:rsid w:val="00B44282"/>
    <w:rsid w:val="00F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2105"/>
  <w15:chartTrackingRefBased/>
  <w15:docId w15:val="{31654E6C-C37B-4B19-848C-0A435BC8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sbitem">
    <w:name w:val="essb_item"/>
    <w:basedOn w:val="Normal"/>
    <w:rsid w:val="00B0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40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73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Comercial</dc:creator>
  <cp:keywords/>
  <dc:description/>
  <cp:lastModifiedBy>Asistencia Comercial</cp:lastModifiedBy>
  <cp:revision>2</cp:revision>
  <dcterms:created xsi:type="dcterms:W3CDTF">2020-08-10T20:33:00Z</dcterms:created>
  <dcterms:modified xsi:type="dcterms:W3CDTF">2020-08-10T20:33:00Z</dcterms:modified>
</cp:coreProperties>
</file>